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F457" w14:textId="77E23B8C" w:rsidR="00EA7768" w:rsidRDefault="004C1A76" w:rsidP="00E31633">
      <w:pPr>
        <w:pStyle w:val="NormalWeb"/>
        <w:ind w:left="360"/>
        <w:jc w:val="center"/>
        <w:rPr>
          <w:rFonts w:ascii="ArialMT" w:hAnsi="ArialMT"/>
          <w:b/>
          <w:bCs/>
          <w:sz w:val="28"/>
          <w:szCs w:val="28"/>
        </w:rPr>
      </w:pPr>
      <w:r>
        <w:rPr>
          <w:rFonts w:ascii="ArialMT" w:hAnsi="ArialM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5AEC16E" wp14:editId="1838E39F">
                <wp:simplePos x="0" y="0"/>
                <wp:positionH relativeFrom="margin">
                  <wp:align>center</wp:align>
                </wp:positionH>
                <wp:positionV relativeFrom="paragraph">
                  <wp:posOffset>387582</wp:posOffset>
                </wp:positionV>
                <wp:extent cx="10383520" cy="5485800"/>
                <wp:effectExtent l="0" t="0" r="17780" b="6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3520" cy="5485800"/>
                          <a:chOff x="0" y="0"/>
                          <a:chExt cx="10383677" cy="5486114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905347" y="2942545"/>
                            <a:ext cx="8998585" cy="2543569"/>
                            <a:chOff x="0" y="63543"/>
                            <a:chExt cx="8998585" cy="2543569"/>
                          </a:xfrm>
                        </wpg:grpSpPr>
                        <wps:wsp>
                          <wps:cNvPr id="3" name="Rounded Rectangle 3"/>
                          <wps:cNvSpPr/>
                          <wps:spPr>
                            <a:xfrm>
                              <a:off x="0" y="63543"/>
                              <a:ext cx="8998585" cy="2526025"/>
                            </a:xfrm>
                            <a:prstGeom prst="roundRect">
                              <a:avLst/>
                            </a:prstGeom>
                            <a:solidFill>
                              <a:srgbClr val="B3CCFF">
                                <a:alpha val="50196"/>
                              </a:srgb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023041" y="1131682"/>
                              <a:ext cx="6898741" cy="1258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2B5815" w14:textId="2F9757DD" w:rsidR="00BF6774" w:rsidRPr="00BC01B0" w:rsidRDefault="00BF6774" w:rsidP="00BF6774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Develop and maintain online </w:t>
                                </w:r>
                                <w:proofErr w:type="spellStart"/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LibGuide</w:t>
                                </w:r>
                                <w:proofErr w:type="spellEnd"/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for students and supervisors</w:t>
                                </w:r>
                                <w:r w:rsidR="00BB1E6B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(including curated access to AQA resources, targeted guidance throughout the process and </w:t>
                                </w:r>
                                <w:r w:rsidR="008D4A4A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access to taught programme resources and ‘how to’ guides)</w:t>
                                </w:r>
                              </w:p>
                              <w:p w14:paraId="5C1279B9" w14:textId="2A8ABCBC" w:rsidR="008D4A4A" w:rsidRPr="00BC01B0" w:rsidRDefault="00B27EEE" w:rsidP="00BF6774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Contribute to the taught programme. Particularly on the inquiry process</w:t>
                                </w:r>
                                <w:r w:rsidR="008A292E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and </w:t>
                                </w:r>
                                <w:r w:rsidR="008A292E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locating and using appropriate resources, including </w:t>
                                </w:r>
                                <w:proofErr w:type="gramStart"/>
                                <w:r w:rsidR="008A292E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citing</w:t>
                                </w:r>
                                <w:proofErr w:type="gramEnd"/>
                                <w:r w:rsidR="008A292E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and referencing</w:t>
                                </w:r>
                              </w:p>
                              <w:p w14:paraId="405CE200" w14:textId="4A5A9FCC" w:rsidR="008A292E" w:rsidRPr="00BC01B0" w:rsidRDefault="008A292E" w:rsidP="008A292E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Contribute to supervisor training, in particular making</w:t>
                                </w:r>
                                <w:r w:rsidR="00F45B57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supervisors</w:t>
                                </w: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aware of resources and training given to </w:t>
                                </w:r>
                                <w:proofErr w:type="gramStart"/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students, and</w:t>
                                </w:r>
                                <w:proofErr w:type="gramEnd"/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supporting </w:t>
                                </w:r>
                                <w:r w:rsidR="009D0298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them </w:t>
                                </w:r>
                                <w:r w:rsidR="006A4D68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both through</w:t>
                                </w: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D0298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group </w:t>
                                </w: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training and </w:t>
                                </w:r>
                                <w:r w:rsidR="009D0298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answering </w:t>
                                </w:r>
                                <w:r w:rsidR="006A4D68"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individual </w:t>
                                </w: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questions </w:t>
                                </w:r>
                                <w:r w:rsidR="00B75A39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 xml:space="preserve">(especially </w:t>
                                </w:r>
                                <w:r w:rsidRPr="00BC01B0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on the inquiry process, and locating and using appropriate resources, including citing and referencing</w:t>
                                </w:r>
                                <w:r w:rsidR="00B75A39"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  <w:t>).</w:t>
                                </w:r>
                              </w:p>
                              <w:p w14:paraId="50F1919D" w14:textId="77777777" w:rsidR="00BF6774" w:rsidRPr="00BC01B0" w:rsidRDefault="00BF6774" w:rsidP="00BC01B0">
                                <w:pPr>
                                  <w:rPr>
                                    <w:color w:val="2F5496" w:themeColor="accent1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422210" y="2236272"/>
                              <a:ext cx="2127250" cy="37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3F6E8A" w14:textId="039C2EA1" w:rsidR="008C08EF" w:rsidRPr="00BC01B0" w:rsidRDefault="008C08EF" w:rsidP="008C08E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BC01B0">
                                  <w:rPr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Librarian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383677" cy="4010685"/>
                            <a:chOff x="0" y="0"/>
                            <a:chExt cx="10383677" cy="4010685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4264182" y="0"/>
                              <a:ext cx="6119495" cy="4010188"/>
                              <a:chOff x="0" y="0"/>
                              <a:chExt cx="6119495" cy="4010188"/>
                            </a:xfrm>
                          </wpg:grpSpPr>
                          <wps:wsp>
                            <wps:cNvPr id="2" name="Rounded Rectangle 2"/>
                            <wps:cNvSpPr/>
                            <wps:spPr>
                              <a:xfrm>
                                <a:off x="0" y="0"/>
                                <a:ext cx="6119495" cy="401018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DB2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2037030" y="289711"/>
                                <a:ext cx="3992245" cy="3077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895644" w14:textId="613ED527" w:rsidR="00644FBC" w:rsidRPr="00E228BA" w:rsidRDefault="0035653E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Attend all relevant training</w:t>
                                  </w:r>
                                  <w:r w:rsidR="008D3DF2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, including a standardisation meeting</w:t>
                                  </w:r>
                                </w:p>
                                <w:p w14:paraId="7FBE1934" w14:textId="1539535F" w:rsidR="0035653E" w:rsidRPr="00E228BA" w:rsidRDefault="0035653E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Meet with supervisee</w:t>
                                  </w:r>
                                  <w:r w:rsidR="00756F43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 throughout the process </w:t>
                                  </w:r>
                                  <w:r w:rsidR="00541F7F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including (but not limited to)</w:t>
                                  </w:r>
                                  <w:r w:rsidR="008C4755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 the: planning review, mid-project review and project product review.</w:t>
                                  </w:r>
                                </w:p>
                                <w:p w14:paraId="44932AF3" w14:textId="30615B2D" w:rsidR="008C4755" w:rsidRPr="00E228BA" w:rsidRDefault="00AE0445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Complete the relevant sections of the Production Log during the process</w:t>
                                  </w:r>
                                </w:p>
                                <w:p w14:paraId="21F38D1D" w14:textId="6CA38105" w:rsidR="008017F4" w:rsidRPr="00E228BA" w:rsidRDefault="008017F4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Attend the final presentation and make a detailed record of it in the Production Log</w:t>
                                  </w:r>
                                </w:p>
                                <w:p w14:paraId="16738D3E" w14:textId="57999C58" w:rsidR="008017F4" w:rsidRPr="00E228BA" w:rsidRDefault="008017F4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  <w:r w:rsidR="008D3DF2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k the </w:t>
                                  </w:r>
                                  <w:r w:rsidR="00791303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final project</w:t>
                                  </w:r>
                                </w:p>
                                <w:p w14:paraId="3B0FBBCD" w14:textId="1C6D033B" w:rsidR="00860D32" w:rsidRPr="00E228BA" w:rsidRDefault="009C2783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Support</w:t>
                                  </w:r>
                                  <w:r w:rsidR="00782433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 students </w:t>
                                  </w:r>
                                  <w:r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="00782433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carry out research ethically throughout the process</w:t>
                                  </w:r>
                                  <w:r w:rsidR="00EC6251" w:rsidRPr="00E228BA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, with advice from the co-ordinator</w:t>
                                  </w:r>
                                </w:p>
                                <w:p w14:paraId="55AB2241" w14:textId="57FECF50" w:rsidR="0014311F" w:rsidRPr="0027509B" w:rsidRDefault="0014311F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i/>
                                      <w:i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0251B">
                                    <w:rPr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Monitor student progress and raise concerns about missed deadlines, ethical </w:t>
                                  </w:r>
                                  <w:proofErr w:type="gramStart"/>
                                  <w:r w:rsidRPr="00E0251B">
                                    <w:rPr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issues</w:t>
                                  </w:r>
                                  <w:proofErr w:type="gramEnd"/>
                                  <w:r w:rsidRPr="00E0251B">
                                    <w:rPr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 or academic integrity with the Co-ordinator</w:t>
                                  </w:r>
                                </w:p>
                                <w:p w14:paraId="622AFA05" w14:textId="2FF70ECD" w:rsidR="0027509B" w:rsidRPr="00E0251B" w:rsidRDefault="004D3C71" w:rsidP="0014311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i/>
                                      <w:iCs/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>Mediate student relationships with a technical mentor (if they have one), particularly if</w:t>
                                  </w:r>
                                  <w:r w:rsidR="00175D20">
                                    <w:rPr>
                                      <w:color w:val="BF8F00" w:themeColor="accent4" w:themeShade="BF"/>
                                      <w:sz w:val="20"/>
                                      <w:szCs w:val="20"/>
                                    </w:rPr>
                                    <w:t xml:space="preserve"> they are external to the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2190939" y="18107"/>
                                <a:ext cx="2127564" cy="3711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96F29" w14:textId="76BA398D" w:rsidR="00EC6251" w:rsidRPr="00E0251B" w:rsidRDefault="00EC6251" w:rsidP="00EC625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</w:pPr>
                                  <w:r w:rsidRPr="00E0251B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EPQ 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Text Box 12"/>
                          <wps:cNvSpPr txBox="1"/>
                          <wps:spPr>
                            <a:xfrm>
                              <a:off x="6301212" y="2942357"/>
                              <a:ext cx="3521946" cy="10683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166B83" w14:textId="4B787923" w:rsidR="00915BDD" w:rsidRPr="00BC01B0" w:rsidRDefault="00CD13E3" w:rsidP="00915BDD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</w:pPr>
                                <w:r w:rsidRPr="00BC01B0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Support individual students with locating and using appropriate resources</w:t>
                                </w:r>
                                <w:r w:rsidR="00F17E3F" w:rsidRPr="00BC01B0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C08C6" w:rsidRPr="00BC01B0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ethically </w:t>
                                </w:r>
                                <w:r w:rsidR="00F17E3F" w:rsidRPr="00BC01B0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AC08C6" w:rsidRPr="00BC01B0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includes citing and referencing</w:t>
                                </w:r>
                                <w:r w:rsidR="00937191" w:rsidRPr="00BC01B0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).</w:t>
                                </w:r>
                                <w:r w:rsidR="00B80EF8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 May include an individual reference interview with the Librarian.</w:t>
                                </w:r>
                              </w:p>
                              <w:p w14:paraId="74A0D749" w14:textId="1BAB662B" w:rsidR="000A3C9B" w:rsidRPr="00BC01B0" w:rsidRDefault="000A3C9B" w:rsidP="00915BDD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</w:pPr>
                                <w:r w:rsidRPr="00BC01B0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Encourage students to keep a research diary, which they can use to inform their Production Log.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6291687" cy="4010685"/>
                              <a:chOff x="0" y="0"/>
                              <a:chExt cx="6291687" cy="4010685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6273404" cy="4010685"/>
                                <a:chOff x="0" y="0"/>
                                <a:chExt cx="6273404" cy="4010685"/>
                              </a:xfrm>
                            </wpg:grpSpPr>
                            <wps:wsp>
                              <wps:cNvPr id="1" name="Rounded Rectangle 1"/>
                              <wps:cNvSpPr/>
                              <wps:spPr>
                                <a:xfrm>
                                  <a:off x="153909" y="9053"/>
                                  <a:ext cx="6119495" cy="400163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9D99">
                                    <a:alpha val="50196"/>
                                  </a:srgbClr>
                                </a:solidFill>
                                <a:ln>
                                  <a:solidFill>
                                    <a:srgbClr val="FF6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1457C3" w14:textId="77777777" w:rsidR="00BB206D" w:rsidRDefault="00BB206D" w:rsidP="00BB206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421394" y="0"/>
                                  <a:ext cx="212725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6874F6" w14:textId="052EE0F9" w:rsidR="00BB206D" w:rsidRPr="003A0C88" w:rsidRDefault="00BB206D" w:rsidP="00BB206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3A0C88">
                                      <w:rPr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EPQ Co-ordinator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71604"/>
                                  <a:ext cx="4209415" cy="306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6EF4FE" w14:textId="11E7FAEF" w:rsidR="00792667" w:rsidRPr="003A0C88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MT" w:hAnsi="ArialMT"/>
                                        <w:i/>
                                        <w:i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Devise, timetable, oversee (and deliver some of) the taught programme</w:t>
                                    </w:r>
                                    <w:r w:rsidR="002049E5"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2049E5" w:rsidRPr="003A0C88">
                                      <w:rPr>
                                        <w:rFonts w:ascii="ArialMT" w:hAnsi="ArialMT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Book any necessary rooms and liaise with all staff involved with delivery.</w:t>
                                    </w:r>
                                  </w:p>
                                  <w:p w14:paraId="53B9A8C9" w14:textId="6351C266" w:rsidR="00792667" w:rsidRPr="00D01EE1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Set internal deadlines</w:t>
                                    </w:r>
                                  </w:p>
                                  <w:p w14:paraId="529BADFA" w14:textId="3AA9A3AE" w:rsidR="00F65F8A" w:rsidRPr="003A0C88" w:rsidRDefault="00F65F8A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MT" w:hAnsi="ArialMT"/>
                                        <w:i/>
                                        <w:i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3A0C88">
                                      <w:rPr>
                                        <w:rFonts w:ascii="ArialMT" w:hAnsi="ArialMT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Set up </w:t>
                                    </w:r>
                                    <w:r w:rsidR="00C1046A">
                                      <w:rPr>
                                        <w:rFonts w:ascii="ArialMT" w:hAnsi="ArialMT"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and maintain </w:t>
                                    </w:r>
                                    <w:r w:rsidRPr="003A0C88">
                                      <w:rPr>
                                        <w:rFonts w:ascii="ArialMT" w:hAnsi="ArialMT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any necessary online spaces, such as an EPQ Team</w:t>
                                    </w:r>
                                  </w:p>
                                  <w:p w14:paraId="148D123F" w14:textId="3E559E38" w:rsidR="00792667" w:rsidRPr="00D01EE1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Final sign off on all project proposals</w:t>
                                    </w:r>
                                  </w:p>
                                  <w:p w14:paraId="75A39964" w14:textId="1A95D019" w:rsidR="00C053B0" w:rsidRPr="003A0C88" w:rsidRDefault="00C053B0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MT" w:hAnsi="ArialMT"/>
                                        <w:i/>
                                        <w:i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3A0C88">
                                      <w:rPr>
                                        <w:rFonts w:ascii="ArialMT" w:hAnsi="ArialMT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Assign supervisors</w:t>
                                    </w:r>
                                  </w:p>
                                  <w:p w14:paraId="0301AB98" w14:textId="77777777" w:rsidR="00792667" w:rsidRPr="00D01EE1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Train, support and oversee supervisors with supervision, marking, standardisation and moderation</w:t>
                                    </w:r>
                                  </w:p>
                                  <w:p w14:paraId="72209C3D" w14:textId="77777777" w:rsidR="00792667" w:rsidRPr="00D01EE1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Enter candidates through the Examination Officer</w:t>
                                    </w:r>
                                  </w:p>
                                  <w:p w14:paraId="6816CEF0" w14:textId="77777777" w:rsidR="00792667" w:rsidRPr="00D01EE1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Submit marks to AQA and a requested sample of work to an external AQA moderator. </w:t>
                                    </w:r>
                                  </w:p>
                                  <w:p w14:paraId="4E0DCAFE" w14:textId="77777777" w:rsidR="00792667" w:rsidRPr="00D01EE1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Ensure that every supervisor and the centre coordinator have signed the centre declaration sheet</w:t>
                                    </w:r>
                                  </w:p>
                                  <w:p w14:paraId="02314B24" w14:textId="77777777" w:rsidR="00792667" w:rsidRPr="00D01EE1" w:rsidRDefault="00792667" w:rsidP="00792667">
                                    <w:pPr>
                                      <w:pStyle w:val="NormalWeb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01EE1">
                                      <w:rPr>
                                        <w:rFonts w:ascii="ArialMT" w:hAnsi="ArialMT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Register centre with AQA and contact AQA with any EPQ related queries</w:t>
                                    </w:r>
                                  </w:p>
                                  <w:p w14:paraId="025FD584" w14:textId="77777777" w:rsidR="00792667" w:rsidRPr="003A0C88" w:rsidRDefault="00792667">
                                    <w:pPr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" name="Text Box 9"/>
                            <wps:cNvSpPr txBox="1"/>
                            <wps:spPr>
                              <a:xfrm>
                                <a:off x="4472412" y="1339913"/>
                                <a:ext cx="1819275" cy="1221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5B3D3" w14:textId="53EBB49F" w:rsidR="00E539FC" w:rsidRPr="00E0251B" w:rsidRDefault="0016291E" w:rsidP="0016291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E0251B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Chase missed deadlines and </w:t>
                                  </w:r>
                                  <w:proofErr w:type="gramStart"/>
                                  <w:r w:rsidRPr="00E0251B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negotiate</w:t>
                                  </w:r>
                                  <w:proofErr w:type="gramEnd"/>
                                  <w:r w:rsidRPr="00E0251B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 extension</w:t>
                                  </w:r>
                                  <w:r w:rsidR="00EE7C35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Pr="00E0251B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where appropriate</w:t>
                                  </w:r>
                                </w:p>
                                <w:p w14:paraId="1CD80925" w14:textId="07B0878D" w:rsidR="0016291E" w:rsidRPr="00E0251B" w:rsidRDefault="0060790C" w:rsidP="0016291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E0251B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Deal with academic integrity </w:t>
                                  </w:r>
                                  <w:r w:rsidR="00126980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or ethical </w:t>
                                  </w:r>
                                  <w:r w:rsidRPr="00E0251B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concerns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4399984" y="3014804"/>
                                <a:ext cx="1873885" cy="823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4AA58" w14:textId="7F28A92F" w:rsidR="00AB4529" w:rsidRPr="00B2074C" w:rsidRDefault="009A3EF0" w:rsidP="009A3EF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074C">
                                    <w:rPr>
                                      <w:color w:val="000000" w:themeColor="text1"/>
                                    </w:rPr>
                                    <w:t xml:space="preserve">Support students to grow personally, </w:t>
                                  </w:r>
                                  <w:proofErr w:type="gramStart"/>
                                  <w:r w:rsidR="00850DA6" w:rsidRPr="00B2074C">
                                    <w:rPr>
                                      <w:color w:val="000000" w:themeColor="text1"/>
                                    </w:rPr>
                                    <w:t>socially</w:t>
                                  </w:r>
                                  <w:proofErr w:type="gramEnd"/>
                                  <w:r w:rsidRPr="00B2074C">
                                    <w:rPr>
                                      <w:color w:val="000000" w:themeColor="text1"/>
                                    </w:rPr>
                                    <w:t xml:space="preserve"> and academically throughout the EPQ process</w:t>
                                  </w:r>
                                  <w:r w:rsidR="005E4E48" w:rsidRPr="00B2074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1122630" y="2969536"/>
                                <a:ext cx="3032911" cy="10224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ADD30" w14:textId="689923CB" w:rsidR="0096553F" w:rsidRPr="00B80EF8" w:rsidRDefault="008E3D94" w:rsidP="0096553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B80EF8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>Agree EPQ timetable and collaborate on delivery of taught programme</w:t>
                                  </w:r>
                                </w:p>
                                <w:p w14:paraId="55FF1AB5" w14:textId="503C9D36" w:rsidR="00217C1B" w:rsidRPr="00B80EF8" w:rsidRDefault="00217C1B" w:rsidP="0096553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B80EF8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Collaborate on supervisor training (Co-ordinator focus on responsibilities, tracking, marking, standardisation and moderation, Librarian focus on </w:t>
                                  </w:r>
                                  <w:r w:rsidR="000F46D9" w:rsidRPr="00B80EF8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>supervisor inquiry skills)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EC16E" id="Group 22" o:spid="_x0000_s1026" style="position:absolute;left:0;text-align:left;margin-left:0;margin-top:30.5pt;width:817.6pt;height:431.95pt;z-index:251688960;mso-position-horizontal:center;mso-position-horizontal-relative:margin;mso-height-relative:margin" coordsize="103836,54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">
                <v:group id="Group 19" o:spid="_x0000_s1027" style="position:absolute;left:9053;top:29425;width:89986;height:25436" coordorigin=",635" coordsize="89985,25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roundrect id="Rounded Rectangle 3" o:spid="_x0000_s1028" style="position:absolute;top:635;width:89985;height:2526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" fillcolor="#b3ccff" strokecolor="#2f5496 [2404]" strokeweight="1pt">
                    <v:fill opacity="32896f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left:10230;top:11316;width:68987;height:1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  <v:textbox>
                      <w:txbxContent>
                        <w:p w14:paraId="0B2B5815" w14:textId="2F9757DD" w:rsidR="00BF6774" w:rsidRPr="00BC01B0" w:rsidRDefault="00BF6774" w:rsidP="00BF6774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Develop and maintain online </w:t>
                          </w:r>
                          <w:proofErr w:type="spellStart"/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LibGuide</w:t>
                          </w:r>
                          <w:proofErr w:type="spellEnd"/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for students and supervisors</w:t>
                          </w:r>
                          <w:r w:rsidR="00BB1E6B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(including curated access to AQA resources, targeted guidance throughout the process and </w:t>
                          </w:r>
                          <w:r w:rsidR="008D4A4A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access to taught programme resources and ‘how to’ guides)</w:t>
                          </w:r>
                        </w:p>
                        <w:p w14:paraId="5C1279B9" w14:textId="2A8ABCBC" w:rsidR="008D4A4A" w:rsidRPr="00BC01B0" w:rsidRDefault="00B27EEE" w:rsidP="00BF6774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Contribute to the taught programme. Particularly on the inquiry process</w:t>
                          </w:r>
                          <w:r w:rsidR="008A292E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,</w:t>
                          </w: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and </w:t>
                          </w:r>
                          <w:r w:rsidR="008A292E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locating and using appropriate resources, including </w:t>
                          </w:r>
                          <w:proofErr w:type="gramStart"/>
                          <w:r w:rsidR="008A292E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citing</w:t>
                          </w:r>
                          <w:proofErr w:type="gramEnd"/>
                          <w:r w:rsidR="008A292E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and referencing</w:t>
                          </w:r>
                        </w:p>
                        <w:p w14:paraId="405CE200" w14:textId="4A5A9FCC" w:rsidR="008A292E" w:rsidRPr="00BC01B0" w:rsidRDefault="008A292E" w:rsidP="008A292E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Contribute to supervisor training, in particular making</w:t>
                          </w:r>
                          <w:r w:rsidR="00F45B57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supervisors</w:t>
                          </w: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aware of resources and training given to </w:t>
                          </w:r>
                          <w:proofErr w:type="gramStart"/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students, and</w:t>
                          </w:r>
                          <w:proofErr w:type="gramEnd"/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supporting </w:t>
                          </w:r>
                          <w:r w:rsidR="009D0298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them </w:t>
                          </w:r>
                          <w:r w:rsidR="006A4D68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both through</w:t>
                          </w: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9D0298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group </w:t>
                          </w: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training and </w:t>
                          </w:r>
                          <w:r w:rsidR="009D0298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answering </w:t>
                          </w:r>
                          <w:r w:rsidR="006A4D68"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individual </w:t>
                          </w: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questions </w:t>
                          </w:r>
                          <w:r w:rsidR="00B75A39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(especially </w:t>
                          </w:r>
                          <w:r w:rsidRPr="00BC01B0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on the inquiry process, and locating and using appropriate resources, including citing and referencing</w:t>
                          </w:r>
                          <w:r w:rsidR="00B75A39"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).</w:t>
                          </w:r>
                        </w:p>
                        <w:p w14:paraId="50F1919D" w14:textId="77777777" w:rsidR="00BF6774" w:rsidRPr="00BC01B0" w:rsidRDefault="00BF6774" w:rsidP="00BC01B0">
                          <w:pP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" o:spid="_x0000_s1030" type="#_x0000_t202" style="position:absolute;left:34222;top:22362;width:21272;height:37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<v:textbox>
                      <w:txbxContent>
                        <w:p w14:paraId="163F6E8A" w14:textId="039C2EA1" w:rsidR="008C08EF" w:rsidRPr="00BC01B0" w:rsidRDefault="008C08EF" w:rsidP="008C08EF">
                          <w:pPr>
                            <w:jc w:val="center"/>
                            <w:rPr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BC01B0">
                            <w:rPr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Librarian</w:t>
                          </w:r>
                        </w:p>
                      </w:txbxContent>
                    </v:textbox>
                  </v:shape>
                </v:group>
                <v:group id="Group 21" o:spid="_x0000_s1031" style="position:absolute;width:103836;height:40106" coordsize="103836,40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group id="Group 18" o:spid="_x0000_s1032" style="position:absolute;left:42641;width:61195;height:40101" coordsize="61194,40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roundrect id="Rounded Rectangle 2" o:spid="_x0000_s1033" style="position:absolute;width:61194;height:4010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" fillcolor="#fffdb2" strokecolor="#bf8f00 [2407]" strokeweight="1pt">
                      <v:fill opacity="32896f"/>
                      <v:stroke joinstyle="miter"/>
                    </v:roundrect>
                    <v:shape id="Text Box 7" o:spid="_x0000_s1034" type="#_x0000_t202" style="position:absolute;left:20370;top:2897;width:39922;height:30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    <v:textbox>
                        <w:txbxContent>
                          <w:p w14:paraId="14895644" w14:textId="613ED527" w:rsidR="00644FBC" w:rsidRPr="00E228BA" w:rsidRDefault="0035653E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Attend all relevant training</w:t>
                            </w:r>
                            <w:r w:rsidR="008D3DF2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, including a standardisation meeting</w:t>
                            </w:r>
                          </w:p>
                          <w:p w14:paraId="7FBE1934" w14:textId="1539535F" w:rsidR="0035653E" w:rsidRPr="00E228BA" w:rsidRDefault="0035653E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Meet with supervisee</w:t>
                            </w:r>
                            <w:r w:rsidR="00756F43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 throughout the process </w:t>
                            </w:r>
                            <w:r w:rsidR="00541F7F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including (but not limited to)</w:t>
                            </w:r>
                            <w:r w:rsidR="008C4755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 the: planning review, mid-project review and project product review.</w:t>
                            </w:r>
                          </w:p>
                          <w:p w14:paraId="44932AF3" w14:textId="30615B2D" w:rsidR="008C4755" w:rsidRPr="00E228BA" w:rsidRDefault="00AE0445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Complete the relevant sections of the Production Log during the process</w:t>
                            </w:r>
                          </w:p>
                          <w:p w14:paraId="21F38D1D" w14:textId="6CA38105" w:rsidR="008017F4" w:rsidRPr="00E228BA" w:rsidRDefault="008017F4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Attend the final presentation and make a detailed record of it in the Production Log</w:t>
                            </w:r>
                          </w:p>
                          <w:p w14:paraId="16738D3E" w14:textId="57999C58" w:rsidR="008017F4" w:rsidRPr="00E228BA" w:rsidRDefault="008017F4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Mar</w:t>
                            </w:r>
                            <w:r w:rsidR="008D3DF2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k the </w:t>
                            </w:r>
                            <w:r w:rsidR="00791303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final project</w:t>
                            </w:r>
                          </w:p>
                          <w:p w14:paraId="3B0FBBCD" w14:textId="1C6D033B" w:rsidR="00860D32" w:rsidRPr="00E228BA" w:rsidRDefault="009C2783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Support</w:t>
                            </w:r>
                            <w:r w:rsidR="00782433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 students </w:t>
                            </w:r>
                            <w:r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82433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carry out research ethically throughout the process</w:t>
                            </w:r>
                            <w:r w:rsidR="00EC6251" w:rsidRPr="00E228BA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, with advice from the co-ordinator</w:t>
                            </w:r>
                          </w:p>
                          <w:p w14:paraId="55AB2241" w14:textId="57FECF50" w:rsidR="0014311F" w:rsidRPr="0027509B" w:rsidRDefault="0014311F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E0251B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Monitor student progress and raise concerns about missed deadlines, ethical </w:t>
                            </w:r>
                            <w:proofErr w:type="gramStart"/>
                            <w:r w:rsidRPr="00E0251B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issues</w:t>
                            </w:r>
                            <w:proofErr w:type="gramEnd"/>
                            <w:r w:rsidRPr="00E0251B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 or academic integrity with the Co-ordinator</w:t>
                            </w:r>
                          </w:p>
                          <w:p w14:paraId="622AFA05" w14:textId="2FF70ECD" w:rsidR="0027509B" w:rsidRPr="00E0251B" w:rsidRDefault="004D3C71" w:rsidP="0014311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>Mediate student relationships with a technical mentor (if they have one), particularly if</w:t>
                            </w:r>
                            <w:r w:rsidR="00175D20">
                              <w:rPr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 they are external to the school</w:t>
                            </w:r>
                          </w:p>
                        </w:txbxContent>
                      </v:textbox>
                    </v:shape>
                    <v:shape id="Text Box 8" o:spid="_x0000_s1035" type="#_x0000_t202" style="position:absolute;left:21909;top:181;width:21276;height:3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    <v:textbox>
                        <w:txbxContent>
                          <w:p w14:paraId="77C96F29" w14:textId="76BA398D" w:rsidR="00EC6251" w:rsidRPr="00E0251B" w:rsidRDefault="00EC6251" w:rsidP="00EC6251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E0251B"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EPQ Supervisor</w:t>
                            </w:r>
                          </w:p>
                        </w:txbxContent>
                      </v:textbox>
                    </v:shape>
                  </v:group>
                  <v:shape id="Text Box 12" o:spid="_x0000_s1036" type="#_x0000_t202" style="position:absolute;left:63012;top:29423;width:35219;height:10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<v:textbox>
                      <w:txbxContent>
                        <w:p w14:paraId="2F166B83" w14:textId="4B787923" w:rsidR="00915BDD" w:rsidRPr="00BC01B0" w:rsidRDefault="00CD13E3" w:rsidP="00915BDD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BC01B0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>Support individual students with locating and using appropriate resources</w:t>
                          </w:r>
                          <w:r w:rsidR="00F17E3F" w:rsidRPr="00BC01B0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AC08C6" w:rsidRPr="00BC01B0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ethically </w:t>
                          </w:r>
                          <w:r w:rsidR="00F17E3F" w:rsidRPr="00BC01B0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>(</w:t>
                          </w:r>
                          <w:r w:rsidR="00AC08C6" w:rsidRPr="00BC01B0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>includes citing and referencing</w:t>
                          </w:r>
                          <w:r w:rsidR="00937191" w:rsidRPr="00BC01B0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>).</w:t>
                          </w:r>
                          <w:r w:rsidR="00B80EF8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May include an individual reference interview with the Librarian.</w:t>
                          </w:r>
                        </w:p>
                        <w:p w14:paraId="74A0D749" w14:textId="1BAB662B" w:rsidR="000A3C9B" w:rsidRPr="00BC01B0" w:rsidRDefault="000A3C9B" w:rsidP="00915BDD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BC01B0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>Encourage students to keep a research diary, which they can use to inform their Production Log.</w:t>
                          </w:r>
                        </w:p>
                      </w:txbxContent>
                    </v:textbox>
                  </v:shape>
                  <v:group id="Group 20" o:spid="_x0000_s1037" style="position:absolute;width:62916;height:40106" coordsize="62916,40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<v:group id="Group 17" o:spid="_x0000_s1038" style="position:absolute;width:62734;height:40106" coordsize="62734,40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  <v:roundrect id="Rounded Rectangle 1" o:spid="_x0000_s1039" style="position:absolute;left:1539;top:90;width:61195;height:4001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" fillcolor="#ff9d99" strokecolor="#ff6366" strokeweight="1pt">
                        <v:fill opacity="32896f"/>
                        <v:stroke joinstyle="miter"/>
                        <v:textbox>
                          <w:txbxContent>
                            <w:p w14:paraId="2A1457C3" w14:textId="77777777" w:rsidR="00BB206D" w:rsidRDefault="00BB206D" w:rsidP="00BB206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Text Box 5" o:spid="_x0000_s1040" type="#_x0000_t202" style="position:absolute;left:14213;width:21273;height:37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36874F6" w14:textId="052EE0F9" w:rsidR="00BB206D" w:rsidRPr="003A0C88" w:rsidRDefault="00BB206D" w:rsidP="00BB206D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A0C88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EPQ Co-ordinator</w:t>
                              </w:r>
                            </w:p>
                          </w:txbxContent>
                        </v:textbox>
                      </v:shape>
                      <v:shape id="Text Box 6" o:spid="_x0000_s1041" type="#_x0000_t202" style="position:absolute;top:2716;width:42094;height:30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786EF4FE" w14:textId="11E7FAEF" w:rsidR="00792667" w:rsidRPr="003A0C88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ArialMT" w:hAnsi="ArialMT"/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Devise, timetable, oversee (and deliver some of) the taught programme</w:t>
                              </w:r>
                              <w:r w:rsidR="002049E5"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2049E5" w:rsidRPr="003A0C88">
                                <w:rPr>
                                  <w:rFonts w:ascii="ArialMT" w:hAnsi="ArialMT"/>
                                  <w:color w:val="FF0000"/>
                                  <w:sz w:val="20"/>
                                  <w:szCs w:val="20"/>
                                </w:rPr>
                                <w:t xml:space="preserve"> Book any necessary rooms and liaise with all staff involved with delivery.</w:t>
                              </w:r>
                            </w:p>
                            <w:p w14:paraId="53B9A8C9" w14:textId="6351C266" w:rsidR="00792667" w:rsidRPr="00D01EE1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Set internal deadlines</w:t>
                              </w:r>
                            </w:p>
                            <w:p w14:paraId="529BADFA" w14:textId="3AA9A3AE" w:rsidR="00F65F8A" w:rsidRPr="003A0C88" w:rsidRDefault="00F65F8A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ArialMT" w:hAnsi="ArialMT"/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A0C88">
                                <w:rPr>
                                  <w:rFonts w:ascii="ArialMT" w:hAnsi="ArialMT"/>
                                  <w:color w:val="FF0000"/>
                                  <w:sz w:val="20"/>
                                  <w:szCs w:val="20"/>
                                </w:rPr>
                                <w:t xml:space="preserve">Set up </w:t>
                              </w:r>
                              <w:r w:rsidR="00C1046A">
                                <w:rPr>
                                  <w:rFonts w:ascii="ArialMT" w:hAnsi="ArialMT"/>
                                  <w:color w:val="FF0000"/>
                                  <w:sz w:val="20"/>
                                  <w:szCs w:val="20"/>
                                </w:rPr>
                                <w:t xml:space="preserve">and maintain </w:t>
                              </w:r>
                              <w:r w:rsidRPr="003A0C88">
                                <w:rPr>
                                  <w:rFonts w:ascii="ArialMT" w:hAnsi="ArialMT"/>
                                  <w:color w:val="FF0000"/>
                                  <w:sz w:val="20"/>
                                  <w:szCs w:val="20"/>
                                </w:rPr>
                                <w:t>any necessary online spaces, such as an EPQ Team</w:t>
                              </w:r>
                            </w:p>
                            <w:p w14:paraId="148D123F" w14:textId="3E559E38" w:rsidR="00792667" w:rsidRPr="00D01EE1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Final sign off on all project proposals</w:t>
                              </w:r>
                            </w:p>
                            <w:p w14:paraId="75A39964" w14:textId="1A95D019" w:rsidR="00C053B0" w:rsidRPr="003A0C88" w:rsidRDefault="00C053B0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ArialMT" w:hAnsi="ArialMT"/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A0C88">
                                <w:rPr>
                                  <w:rFonts w:ascii="ArialMT" w:hAnsi="ArialMT"/>
                                  <w:color w:val="FF0000"/>
                                  <w:sz w:val="20"/>
                                  <w:szCs w:val="20"/>
                                </w:rPr>
                                <w:t>Assign supervisors</w:t>
                              </w:r>
                            </w:p>
                            <w:p w14:paraId="0301AB98" w14:textId="77777777" w:rsidR="00792667" w:rsidRPr="00D01EE1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Train, support and oversee supervisors with supervision, marking, standardisation and moderation</w:t>
                              </w:r>
                            </w:p>
                            <w:p w14:paraId="72209C3D" w14:textId="77777777" w:rsidR="00792667" w:rsidRPr="00D01EE1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Enter candidates through the Examination Officer</w:t>
                              </w:r>
                            </w:p>
                            <w:p w14:paraId="6816CEF0" w14:textId="77777777" w:rsidR="00792667" w:rsidRPr="00D01EE1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Submit marks to AQA and a requested sample of work to an external AQA moderator. </w:t>
                              </w:r>
                            </w:p>
                            <w:p w14:paraId="4E0DCAFE" w14:textId="77777777" w:rsidR="00792667" w:rsidRPr="00D01EE1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Ensure that every supervisor and the centre coordinator have signed the centre declaration sheet</w:t>
                              </w:r>
                            </w:p>
                            <w:p w14:paraId="02314B24" w14:textId="77777777" w:rsidR="00792667" w:rsidRPr="00D01EE1" w:rsidRDefault="00792667" w:rsidP="00792667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1EE1">
                                <w:rPr>
                                  <w:rFonts w:ascii="ArialMT" w:hAnsi="ArialMT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Register centre with AQA and contact AQA with any EPQ related queries</w:t>
                              </w:r>
                            </w:p>
                            <w:p w14:paraId="025FD584" w14:textId="77777777" w:rsidR="00792667" w:rsidRPr="003A0C88" w:rsidRDefault="0079266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9" o:spid="_x0000_s1042" type="#_x0000_t202" style="position:absolute;left:44724;top:13399;width:18192;height:12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  <v:textbox>
                        <w:txbxContent>
                          <w:p w14:paraId="66C5B3D3" w14:textId="53EBB49F" w:rsidR="00E539FC" w:rsidRPr="00E0251B" w:rsidRDefault="0016291E" w:rsidP="0016291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E0251B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Chase missed deadlines and </w:t>
                            </w:r>
                            <w:proofErr w:type="gramStart"/>
                            <w:r w:rsidRPr="00E0251B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negotiate</w:t>
                            </w:r>
                            <w:proofErr w:type="gramEnd"/>
                            <w:r w:rsidRPr="00E0251B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extension</w:t>
                            </w:r>
                            <w:r w:rsidR="00EE7C35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E0251B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where appropriate</w:t>
                            </w:r>
                          </w:p>
                          <w:p w14:paraId="1CD80925" w14:textId="07B0878D" w:rsidR="0016291E" w:rsidRPr="00E0251B" w:rsidRDefault="0060790C" w:rsidP="0016291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E0251B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Deal with academic integrity </w:t>
                            </w:r>
                            <w:r w:rsidR="00126980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or ethical </w:t>
                            </w:r>
                            <w:r w:rsidRPr="00E0251B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concerns</w:t>
                            </w:r>
                          </w:p>
                        </w:txbxContent>
                      </v:textbox>
                    </v:shape>
                    <v:shape id="Text Box 15" o:spid="_x0000_s1043" type="#_x0000_t202" style="position:absolute;left:43999;top:30148;width:18739;height:8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1A64AA58" w14:textId="7F28A92F" w:rsidR="00AB4529" w:rsidRPr="00B2074C" w:rsidRDefault="009A3EF0" w:rsidP="009A3E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074C">
                              <w:rPr>
                                <w:color w:val="000000" w:themeColor="text1"/>
                              </w:rPr>
                              <w:t xml:space="preserve">Support students to grow personally, </w:t>
                            </w:r>
                            <w:proofErr w:type="gramStart"/>
                            <w:r w:rsidR="00850DA6" w:rsidRPr="00B2074C">
                              <w:rPr>
                                <w:color w:val="000000" w:themeColor="text1"/>
                              </w:rPr>
                              <w:t>socially</w:t>
                            </w:r>
                            <w:proofErr w:type="gramEnd"/>
                            <w:r w:rsidRPr="00B2074C">
                              <w:rPr>
                                <w:color w:val="000000" w:themeColor="text1"/>
                              </w:rPr>
                              <w:t xml:space="preserve"> and academically throughout the EPQ process</w:t>
                            </w:r>
                            <w:r w:rsidR="005E4E48" w:rsidRPr="00B207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0" o:spid="_x0000_s1044" type="#_x0000_t202" style="position:absolute;left:11226;top:29695;width:30329;height:10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  <v:textbox>
                        <w:txbxContent>
                          <w:p w14:paraId="396ADD30" w14:textId="689923CB" w:rsidR="0096553F" w:rsidRPr="00B80EF8" w:rsidRDefault="008E3D94" w:rsidP="0096553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80EF8">
                              <w:rPr>
                                <w:color w:val="7030A0"/>
                                <w:sz w:val="20"/>
                                <w:szCs w:val="20"/>
                              </w:rPr>
                              <w:t>Agree EPQ timetable and collaborate on delivery of taught programme</w:t>
                            </w:r>
                          </w:p>
                          <w:p w14:paraId="55FF1AB5" w14:textId="503C9D36" w:rsidR="00217C1B" w:rsidRPr="00B80EF8" w:rsidRDefault="00217C1B" w:rsidP="0096553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80EF8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Collaborate on supervisor training (Co-ordinator focus on responsibilities, tracking, marking, standardisation and moderation, Librarian focus on </w:t>
                            </w:r>
                            <w:r w:rsidR="000F46D9" w:rsidRPr="00B80EF8">
                              <w:rPr>
                                <w:color w:val="7030A0"/>
                                <w:sz w:val="20"/>
                                <w:szCs w:val="20"/>
                              </w:rPr>
                              <w:t>supervisor inquiry skills)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4C1A76">
        <w:rPr>
          <w:rFonts w:ascii="ArialMT" w:hAnsi="ArialMT"/>
          <w:b/>
          <w:bCs/>
          <w:sz w:val="28"/>
          <w:szCs w:val="28"/>
        </w:rPr>
        <w:t>EPQ roles and responsibilities</w:t>
      </w:r>
    </w:p>
    <w:p w14:paraId="59BFDEA3" w14:textId="3D1352FC" w:rsidR="00E31633" w:rsidRDefault="00E31633" w:rsidP="00E31633">
      <w:pPr>
        <w:pStyle w:val="NormalWeb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4B87F" wp14:editId="6B1F2A45">
                <wp:simplePos x="0" y="0"/>
                <wp:positionH relativeFrom="column">
                  <wp:posOffset>113030</wp:posOffset>
                </wp:positionH>
                <wp:positionV relativeFrom="paragraph">
                  <wp:posOffset>5589905</wp:posOffset>
                </wp:positionV>
                <wp:extent cx="9795510" cy="622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51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431AC" w14:textId="1B01A356" w:rsidR="00A06FEF" w:rsidRPr="00415158" w:rsidRDefault="00A06FEF" w:rsidP="00415158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1515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Note that all phrases in </w:t>
                            </w:r>
                            <w:r w:rsidR="00E228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bold </w:t>
                            </w:r>
                            <w:r w:rsidRPr="0041515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are direct quote</w:t>
                            </w:r>
                            <w:r w:rsidR="00B2074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41515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paraphrases from </w:t>
                            </w:r>
                            <w:r w:rsidR="000D392A" w:rsidRPr="0041515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AQA documentation from </w:t>
                            </w:r>
                            <w:hyperlink r:id="rId9" w:history="1">
                              <w:r w:rsidR="000D392A" w:rsidRPr="0041515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https://www.aqa.org.uk/subjects/projects/project-qualifications/EPQ-7993/planning-resources</w:t>
                              </w:r>
                            </w:hyperlink>
                            <w:r w:rsidR="000D392A" w:rsidRPr="00415158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10" w:history="1">
                              <w:r w:rsidR="000D392A" w:rsidRPr="0041515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https://www.aqa.org.uk/subjects/projects/project-qualifications/EPQ-7993/teaching-resources</w:t>
                              </w:r>
                            </w:hyperlink>
                            <w:r w:rsidR="000D392A" w:rsidRPr="004151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392A" w:rsidRPr="0041515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 w:rsidR="0004318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appendix</w:t>
                            </w:r>
                            <w:r w:rsidR="000D392A" w:rsidRPr="0041515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details.</w:t>
                            </w:r>
                            <w:r w:rsidR="005553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While AQA does not specify the role of the Librarian</w:t>
                            </w:r>
                            <w:r w:rsidR="00D54A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, they do make it clear that Librarians are frequently involved in the process (see</w:t>
                            </w:r>
                            <w:r w:rsidR="00265BB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265BB3" w:rsidRPr="009007C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Teaching guide: taught skills programme</w:t>
                              </w:r>
                            </w:hyperlink>
                            <w:r w:rsidR="00265BB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B87F" id="Text Box 16" o:spid="_x0000_s1045" type="#_x0000_t202" style="position:absolute;left:0;text-align:left;margin-left:8.9pt;margin-top:440.15pt;width:771.3pt;height:4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" filled="f" stroked="f" strokeweight=".5pt">
                <v:textbox>
                  <w:txbxContent>
                    <w:p w14:paraId="718431AC" w14:textId="1B01A356" w:rsidR="00A06FEF" w:rsidRPr="00415158" w:rsidRDefault="00A06FEF" w:rsidP="00415158">
                      <w:pPr>
                        <w:jc w:val="righ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1515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Note that all phrases in </w:t>
                      </w:r>
                      <w:r w:rsidR="00E228B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bold </w:t>
                      </w:r>
                      <w:r w:rsidRPr="00415158">
                        <w:rPr>
                          <w:color w:val="000000" w:themeColor="text1"/>
                          <w:sz w:val="22"/>
                          <w:szCs w:val="22"/>
                        </w:rPr>
                        <w:t>are direct quote</w:t>
                      </w:r>
                      <w:r w:rsidR="00B2074C">
                        <w:rPr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41515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or paraphrases from </w:t>
                      </w:r>
                      <w:r w:rsidR="000D392A" w:rsidRPr="0041515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AQA documentation from </w:t>
                      </w:r>
                      <w:hyperlink r:id="rId12" w:history="1">
                        <w:r w:rsidR="000D392A" w:rsidRPr="00415158">
                          <w:rPr>
                            <w:rStyle w:val="Hyperlink"/>
                            <w:sz w:val="22"/>
                            <w:szCs w:val="22"/>
                          </w:rPr>
                          <w:t>https://www.aqa.org.uk/subjects/projects/project-qualifications/EPQ-7993/planning-resources</w:t>
                        </w:r>
                      </w:hyperlink>
                      <w:r w:rsidR="000D392A" w:rsidRPr="00415158">
                        <w:rPr>
                          <w:sz w:val="22"/>
                          <w:szCs w:val="22"/>
                        </w:rPr>
                        <w:t xml:space="preserve"> and </w:t>
                      </w:r>
                      <w:hyperlink r:id="rId13" w:history="1">
                        <w:r w:rsidR="000D392A" w:rsidRPr="00415158">
                          <w:rPr>
                            <w:rStyle w:val="Hyperlink"/>
                            <w:sz w:val="22"/>
                            <w:szCs w:val="22"/>
                          </w:rPr>
                          <w:t>https://www.aqa.org.uk/subjects/projects/project-qualifications/EPQ-7993/teaching-resources</w:t>
                        </w:r>
                      </w:hyperlink>
                      <w:r w:rsidR="000D392A" w:rsidRPr="004151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392A" w:rsidRPr="0041515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See </w:t>
                      </w:r>
                      <w:r w:rsidR="00043183">
                        <w:rPr>
                          <w:color w:val="000000" w:themeColor="text1"/>
                          <w:sz w:val="22"/>
                          <w:szCs w:val="22"/>
                        </w:rPr>
                        <w:t>appendix</w:t>
                      </w:r>
                      <w:r w:rsidR="000D392A" w:rsidRPr="0041515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for details.</w:t>
                      </w:r>
                      <w:r w:rsidR="0055534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While AQA does not specify the role of the Librarian</w:t>
                      </w:r>
                      <w:r w:rsidR="00D54A62">
                        <w:rPr>
                          <w:color w:val="000000" w:themeColor="text1"/>
                          <w:sz w:val="22"/>
                          <w:szCs w:val="22"/>
                        </w:rPr>
                        <w:t>, they do make it clear that Librarians are frequently involved in the process (see</w:t>
                      </w:r>
                      <w:r w:rsidR="00265BB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="00265BB3" w:rsidRPr="009007CD">
                          <w:rPr>
                            <w:rStyle w:val="Hyperlink"/>
                            <w:sz w:val="22"/>
                            <w:szCs w:val="22"/>
                          </w:rPr>
                          <w:t>Teaching guide: taught skills programme</w:t>
                        </w:r>
                      </w:hyperlink>
                      <w:r w:rsidR="00265BB3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633" w:rsidSect="00E31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25D"/>
    <w:multiLevelType w:val="multilevel"/>
    <w:tmpl w:val="595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2031C"/>
    <w:multiLevelType w:val="multilevel"/>
    <w:tmpl w:val="D4B2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5A14"/>
    <w:multiLevelType w:val="multilevel"/>
    <w:tmpl w:val="D51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4582"/>
    <w:multiLevelType w:val="hybridMultilevel"/>
    <w:tmpl w:val="7BBA0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9097F"/>
    <w:multiLevelType w:val="hybridMultilevel"/>
    <w:tmpl w:val="F348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40D3"/>
    <w:multiLevelType w:val="multilevel"/>
    <w:tmpl w:val="4E1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8240A"/>
    <w:multiLevelType w:val="multilevel"/>
    <w:tmpl w:val="DE7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F5C55"/>
    <w:multiLevelType w:val="multilevel"/>
    <w:tmpl w:val="DE7E3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7E259F"/>
    <w:multiLevelType w:val="multilevel"/>
    <w:tmpl w:val="DE7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1E22BF"/>
    <w:multiLevelType w:val="multilevel"/>
    <w:tmpl w:val="DE7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9C5388"/>
    <w:multiLevelType w:val="multilevel"/>
    <w:tmpl w:val="BA8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235BB"/>
    <w:multiLevelType w:val="multilevel"/>
    <w:tmpl w:val="290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A70B4"/>
    <w:multiLevelType w:val="multilevel"/>
    <w:tmpl w:val="156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F60A06"/>
    <w:multiLevelType w:val="multilevel"/>
    <w:tmpl w:val="DE7E3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264D6F"/>
    <w:multiLevelType w:val="multilevel"/>
    <w:tmpl w:val="A55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A0058"/>
    <w:multiLevelType w:val="multilevel"/>
    <w:tmpl w:val="D9E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01E83"/>
    <w:multiLevelType w:val="multilevel"/>
    <w:tmpl w:val="7C3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AE1E20"/>
    <w:multiLevelType w:val="multilevel"/>
    <w:tmpl w:val="D66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46565"/>
    <w:multiLevelType w:val="multilevel"/>
    <w:tmpl w:val="2134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1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6D"/>
    <w:rsid w:val="00012FD6"/>
    <w:rsid w:val="00043183"/>
    <w:rsid w:val="00080233"/>
    <w:rsid w:val="000A09A0"/>
    <w:rsid w:val="000A3C9B"/>
    <w:rsid w:val="000A3EC7"/>
    <w:rsid w:val="000D392A"/>
    <w:rsid w:val="000F440F"/>
    <w:rsid w:val="000F46D9"/>
    <w:rsid w:val="000F694B"/>
    <w:rsid w:val="00126980"/>
    <w:rsid w:val="00132C67"/>
    <w:rsid w:val="0014311F"/>
    <w:rsid w:val="0014626F"/>
    <w:rsid w:val="0016291E"/>
    <w:rsid w:val="00175D20"/>
    <w:rsid w:val="001A3B01"/>
    <w:rsid w:val="001D5A92"/>
    <w:rsid w:val="002049E5"/>
    <w:rsid w:val="00216473"/>
    <w:rsid w:val="00217C1B"/>
    <w:rsid w:val="00224E38"/>
    <w:rsid w:val="00265BB3"/>
    <w:rsid w:val="0027509B"/>
    <w:rsid w:val="002A1D32"/>
    <w:rsid w:val="002D3719"/>
    <w:rsid w:val="003020F9"/>
    <w:rsid w:val="0035653E"/>
    <w:rsid w:val="003A0C88"/>
    <w:rsid w:val="003B5C07"/>
    <w:rsid w:val="00415158"/>
    <w:rsid w:val="00422137"/>
    <w:rsid w:val="00444747"/>
    <w:rsid w:val="00470252"/>
    <w:rsid w:val="00487E5C"/>
    <w:rsid w:val="004A01B0"/>
    <w:rsid w:val="004C1A76"/>
    <w:rsid w:val="004D3C71"/>
    <w:rsid w:val="004E2F4A"/>
    <w:rsid w:val="004F1E25"/>
    <w:rsid w:val="0051571D"/>
    <w:rsid w:val="00541F7F"/>
    <w:rsid w:val="0055534B"/>
    <w:rsid w:val="005E4E48"/>
    <w:rsid w:val="005F0869"/>
    <w:rsid w:val="0060790C"/>
    <w:rsid w:val="00644FBC"/>
    <w:rsid w:val="00682488"/>
    <w:rsid w:val="006A4D68"/>
    <w:rsid w:val="006A5B0A"/>
    <w:rsid w:val="00756F43"/>
    <w:rsid w:val="00775625"/>
    <w:rsid w:val="00782433"/>
    <w:rsid w:val="00791303"/>
    <w:rsid w:val="00792667"/>
    <w:rsid w:val="007A0944"/>
    <w:rsid w:val="007F3133"/>
    <w:rsid w:val="008017F4"/>
    <w:rsid w:val="00837E53"/>
    <w:rsid w:val="00842EF5"/>
    <w:rsid w:val="00850DA6"/>
    <w:rsid w:val="00851A5C"/>
    <w:rsid w:val="00860D32"/>
    <w:rsid w:val="00861F55"/>
    <w:rsid w:val="008A292E"/>
    <w:rsid w:val="008C08EF"/>
    <w:rsid w:val="008C4755"/>
    <w:rsid w:val="008D3DF2"/>
    <w:rsid w:val="008D4A4A"/>
    <w:rsid w:val="008E3D94"/>
    <w:rsid w:val="009007CD"/>
    <w:rsid w:val="009129EA"/>
    <w:rsid w:val="00915BDD"/>
    <w:rsid w:val="00937191"/>
    <w:rsid w:val="00960E12"/>
    <w:rsid w:val="0096553F"/>
    <w:rsid w:val="009A3EF0"/>
    <w:rsid w:val="009C2783"/>
    <w:rsid w:val="009D0298"/>
    <w:rsid w:val="00A06FEF"/>
    <w:rsid w:val="00A07D4C"/>
    <w:rsid w:val="00A17CDA"/>
    <w:rsid w:val="00A22D7A"/>
    <w:rsid w:val="00A27E54"/>
    <w:rsid w:val="00A933B3"/>
    <w:rsid w:val="00AB4529"/>
    <w:rsid w:val="00AB6CBE"/>
    <w:rsid w:val="00AC08C6"/>
    <w:rsid w:val="00AE0445"/>
    <w:rsid w:val="00AE7122"/>
    <w:rsid w:val="00B2074C"/>
    <w:rsid w:val="00B27EEE"/>
    <w:rsid w:val="00B75A39"/>
    <w:rsid w:val="00B80EF8"/>
    <w:rsid w:val="00BA3231"/>
    <w:rsid w:val="00BB1E6B"/>
    <w:rsid w:val="00BB206D"/>
    <w:rsid w:val="00BC01B0"/>
    <w:rsid w:val="00BD3520"/>
    <w:rsid w:val="00BF6774"/>
    <w:rsid w:val="00C053B0"/>
    <w:rsid w:val="00C054A4"/>
    <w:rsid w:val="00C06C21"/>
    <w:rsid w:val="00C1046A"/>
    <w:rsid w:val="00C55453"/>
    <w:rsid w:val="00C6129B"/>
    <w:rsid w:val="00C73E13"/>
    <w:rsid w:val="00CC7B5B"/>
    <w:rsid w:val="00CD13E3"/>
    <w:rsid w:val="00D01EE1"/>
    <w:rsid w:val="00D111FF"/>
    <w:rsid w:val="00D54A62"/>
    <w:rsid w:val="00DE3932"/>
    <w:rsid w:val="00DE50F9"/>
    <w:rsid w:val="00E0251B"/>
    <w:rsid w:val="00E228BA"/>
    <w:rsid w:val="00E31633"/>
    <w:rsid w:val="00E539FC"/>
    <w:rsid w:val="00E632CF"/>
    <w:rsid w:val="00E91156"/>
    <w:rsid w:val="00EA7977"/>
    <w:rsid w:val="00EC6251"/>
    <w:rsid w:val="00EE7C35"/>
    <w:rsid w:val="00EF4CF8"/>
    <w:rsid w:val="00F17E3F"/>
    <w:rsid w:val="00F45B57"/>
    <w:rsid w:val="00F65F8A"/>
    <w:rsid w:val="00F66203"/>
    <w:rsid w:val="00F8582A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C79D"/>
  <w15:chartTrackingRefBased/>
  <w15:docId w15:val="{04EF18EE-51C3-2D45-9142-ADD854C3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0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6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2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2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2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qa.org.uk/subjects/projects/project-qualifications/EPQ-7993/teaching-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qa.org.uk/subjects/projects/project-qualifications/EPQ-7993/planning-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estore.aqa.org.uk/subjects/AQA-7993-W-TG-TSG-7993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aqa.org.uk/subjects/projects/project-qualifications/EPQ-7993/teaching-resourc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qa.org.uk/subjects/projects/project-qualifications/EPQ-7993/planning-resources" TargetMode="External"/><Relationship Id="rId14" Type="http://schemas.openxmlformats.org/officeDocument/2006/relationships/hyperlink" Target="https://filestore.aqa.org.uk/subjects/AQA-7993-W-TG-TSG-79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FF1AF04C1D142BF90305BBFC8E194" ma:contentTypeVersion="8" ma:contentTypeDescription="Create a new document." ma:contentTypeScope="" ma:versionID="a237a630c372ef803bbfb14704ec9dfe">
  <xsd:schema xmlns:xsd="http://www.w3.org/2001/XMLSchema" xmlns:xs="http://www.w3.org/2001/XMLSchema" xmlns:p="http://schemas.microsoft.com/office/2006/metadata/properties" xmlns:ns2="c3efdda0-5dc4-485e-bba7-f823408f3d96" targetNamespace="http://schemas.microsoft.com/office/2006/metadata/properties" ma:root="true" ma:fieldsID="90c82afc09e22087f7816fe1ea01d169" ns2:_="">
    <xsd:import namespace="c3efdda0-5dc4-485e-bba7-f823408f3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fdda0-5dc4-485e-bba7-f823408f3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DD872-8EB1-41A0-AA55-8184C75C8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1A459-5C31-B24D-869E-F12A940A3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DDBE89-B45C-4859-9E40-BB998924F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CBDF1-CE1A-415C-89E7-51408042A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fdda0-5dc4-485e-bba7-f823408f3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Toerien</dc:creator>
  <cp:keywords/>
  <dc:description/>
  <cp:lastModifiedBy>Jennifer Toerien</cp:lastModifiedBy>
  <cp:revision>2</cp:revision>
  <dcterms:created xsi:type="dcterms:W3CDTF">2021-11-09T23:00:00Z</dcterms:created>
  <dcterms:modified xsi:type="dcterms:W3CDTF">2021-11-09T23:00:00Z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0x0101005C1FF1AF04C1D142BF90305BBFC8E194</vt:lpwstr>
  </property>
</Properties>
</file>